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D8F8F" w14:textId="591C975D" w:rsidR="00D93006" w:rsidRPr="005809BC" w:rsidRDefault="00D93006" w:rsidP="00D93006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6125097"/>
      <w:r w:rsidRPr="005809BC">
        <w:rPr>
          <w:rFonts w:ascii="Arial" w:hAnsi="Arial" w:cs="Arial"/>
          <w:b/>
          <w:bCs/>
          <w:sz w:val="24"/>
          <w:szCs w:val="24"/>
        </w:rPr>
        <w:t xml:space="preserve">Indicador </w:t>
      </w:r>
      <w:r w:rsidR="002D2A43">
        <w:rPr>
          <w:rFonts w:ascii="Arial" w:hAnsi="Arial" w:cs="Arial"/>
          <w:b/>
          <w:bCs/>
          <w:sz w:val="24"/>
          <w:szCs w:val="24"/>
        </w:rPr>
        <w:t>m</w:t>
      </w:r>
      <w:r w:rsidRPr="005809BC">
        <w:rPr>
          <w:rFonts w:ascii="Arial" w:hAnsi="Arial" w:cs="Arial"/>
          <w:b/>
          <w:bCs/>
          <w:sz w:val="24"/>
          <w:szCs w:val="24"/>
        </w:rPr>
        <w:t xml:space="preserve">ensual de </w:t>
      </w:r>
      <w:r w:rsidR="002D2A43">
        <w:rPr>
          <w:rFonts w:ascii="Arial" w:hAnsi="Arial" w:cs="Arial"/>
          <w:b/>
          <w:bCs/>
          <w:sz w:val="24"/>
          <w:szCs w:val="24"/>
        </w:rPr>
        <w:t>a</w:t>
      </w:r>
      <w:r w:rsidRPr="005809BC">
        <w:rPr>
          <w:rFonts w:ascii="Arial" w:hAnsi="Arial" w:cs="Arial"/>
          <w:b/>
          <w:bCs/>
          <w:sz w:val="24"/>
          <w:szCs w:val="24"/>
        </w:rPr>
        <w:t xml:space="preserve">ctividad </w:t>
      </w:r>
      <w:r w:rsidR="002D2A43">
        <w:rPr>
          <w:rFonts w:ascii="Arial" w:hAnsi="Arial" w:cs="Arial"/>
          <w:b/>
          <w:bCs/>
          <w:sz w:val="24"/>
          <w:szCs w:val="24"/>
        </w:rPr>
        <w:t>e</w:t>
      </w:r>
      <w:r w:rsidRPr="005809BC">
        <w:rPr>
          <w:rFonts w:ascii="Arial" w:hAnsi="Arial" w:cs="Arial"/>
          <w:b/>
          <w:bCs/>
          <w:sz w:val="24"/>
          <w:szCs w:val="24"/>
        </w:rPr>
        <w:t>conómica (IMAE)*</w:t>
      </w:r>
      <w:r w:rsidRPr="007A337E">
        <w:rPr>
          <w:noProof/>
        </w:rPr>
        <w:t xml:space="preserve"> </w:t>
      </w:r>
    </w:p>
    <w:p w14:paraId="15995910" w14:textId="77777777" w:rsidR="00D93006" w:rsidRDefault="00D93006" w:rsidP="00D93006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5809BC">
        <w:rPr>
          <w:rFonts w:ascii="Arial" w:hAnsi="Arial" w:cs="Arial"/>
          <w:b/>
          <w:bCs/>
          <w:sz w:val="24"/>
          <w:szCs w:val="24"/>
        </w:rPr>
        <w:t>Tasas de crecimiento 202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5809BC">
        <w:rPr>
          <w:rFonts w:ascii="Arial" w:hAnsi="Arial" w:cs="Arial"/>
          <w:b/>
          <w:bCs/>
          <w:sz w:val="24"/>
          <w:szCs w:val="24"/>
        </w:rPr>
        <w:t>-202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5809BC">
        <w:rPr>
          <w:rFonts w:ascii="Arial" w:hAnsi="Arial" w:cs="Arial"/>
          <w:b/>
          <w:bCs/>
          <w:sz w:val="24"/>
          <w:szCs w:val="24"/>
        </w:rPr>
        <w:t xml:space="preserve"> (%)</w:t>
      </w:r>
    </w:p>
    <w:p w14:paraId="36FA74E2" w14:textId="77777777" w:rsidR="00D93006" w:rsidRPr="00BC1B0B" w:rsidRDefault="00D93006" w:rsidP="00D93006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162D32D" w14:textId="483DB139" w:rsidR="00D93006" w:rsidRPr="00A47D99" w:rsidRDefault="00401A38" w:rsidP="00D93006">
      <w:pPr>
        <w:pStyle w:val="BodyText"/>
        <w:ind w:right="29"/>
        <w:jc w:val="center"/>
        <w:rPr>
          <w:b/>
          <w:sz w:val="23"/>
          <w:szCs w:val="23"/>
          <w:highlight w:val="lightGray"/>
        </w:rPr>
      </w:pPr>
      <w:r w:rsidRPr="006329F8">
        <w:rPr>
          <w:b/>
          <w:noProof/>
          <w:sz w:val="23"/>
          <w:szCs w:val="23"/>
          <w:highlight w:val="lightGray"/>
          <w:lang w:val="es-DO"/>
        </w:rPr>
        <w:drawing>
          <wp:inline distT="0" distB="0" distL="0" distR="0" wp14:anchorId="01C4C46F" wp14:editId="35ACC489">
            <wp:extent cx="5943600" cy="1744980"/>
            <wp:effectExtent l="0" t="0" r="0" b="762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766A70E-A31A-4CBB-8866-F2615B82D2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74C2D5C" w14:textId="77777777" w:rsidR="00D93006" w:rsidRPr="005809BC" w:rsidRDefault="00D93006" w:rsidP="00D93006">
      <w:pPr>
        <w:tabs>
          <w:tab w:val="left" w:pos="720"/>
          <w:tab w:val="left" w:pos="1170"/>
        </w:tabs>
        <w:ind w:left="187" w:right="-432"/>
        <w:contextualSpacing/>
        <w:rPr>
          <w:rFonts w:ascii="Arial" w:hAnsi="Arial" w:cs="Arial"/>
          <w:bCs/>
          <w:sz w:val="16"/>
          <w:szCs w:val="14"/>
        </w:rPr>
      </w:pPr>
      <w:r w:rsidRPr="005809BC">
        <w:rPr>
          <w:rFonts w:ascii="Arial" w:hAnsi="Arial" w:cs="Arial"/>
          <w:bCs/>
          <w:sz w:val="16"/>
          <w:szCs w:val="14"/>
        </w:rPr>
        <w:t>*Cifras preliminares.</w:t>
      </w:r>
    </w:p>
    <w:p w14:paraId="1074C4E4" w14:textId="77777777" w:rsidR="00D93006" w:rsidRPr="005809BC" w:rsidRDefault="00D93006" w:rsidP="00D93006">
      <w:pPr>
        <w:tabs>
          <w:tab w:val="left" w:pos="720"/>
          <w:tab w:val="left" w:pos="1170"/>
        </w:tabs>
        <w:ind w:left="187" w:right="-432"/>
        <w:contextualSpacing/>
        <w:rPr>
          <w:rFonts w:ascii="Arial" w:hAnsi="Arial" w:cs="Arial"/>
          <w:bCs/>
          <w:sz w:val="16"/>
          <w:szCs w:val="14"/>
        </w:rPr>
      </w:pPr>
      <w:r w:rsidRPr="005809BC">
        <w:rPr>
          <w:rFonts w:ascii="Arial" w:hAnsi="Arial" w:cs="Arial"/>
          <w:bCs/>
          <w:sz w:val="16"/>
          <w:szCs w:val="14"/>
        </w:rPr>
        <w:t>Fuente: Banco Central.</w:t>
      </w:r>
    </w:p>
    <w:bookmarkEnd w:id="0"/>
    <w:p w14:paraId="6AB22795" w14:textId="77777777" w:rsidR="00D93006" w:rsidRPr="006D067C" w:rsidRDefault="00D93006" w:rsidP="00D93006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4FA56747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777FB11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E780B5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418F2B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1E68B7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A43DAC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6DEDFCD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3CA01B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23D6DD1D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ED68F2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DFC35D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568A24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FE9297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4AB372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D321B5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C1225A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E4FAB70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70D23D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3E2D06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52283B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DE37B4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60BA6D2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0B8321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B275B5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5A9018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56E5C7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B9BCE9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912AA3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47D14140" w14:textId="77777777" w:rsidR="00401A38" w:rsidRDefault="00401A38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EC70DF" w14:textId="77777777" w:rsidR="00401A38" w:rsidRDefault="00401A38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58E80A" w14:textId="77777777" w:rsidR="00401A38" w:rsidRDefault="00401A38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1D6996" w14:textId="77777777" w:rsidR="00D93006" w:rsidRDefault="00D93006" w:rsidP="00D93006">
      <w:pPr>
        <w:spacing w:after="0"/>
        <w:ind w:right="-43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2A43B5" w14:textId="77777777" w:rsidR="00D93006" w:rsidRDefault="00D93006" w:rsidP="00B245B0">
      <w:pPr>
        <w:spacing w:after="0"/>
        <w:ind w:right="-432"/>
        <w:rPr>
          <w:rFonts w:ascii="Arial" w:hAnsi="Arial" w:cs="Arial"/>
          <w:b/>
          <w:bCs/>
          <w:sz w:val="20"/>
          <w:szCs w:val="20"/>
        </w:rPr>
      </w:pPr>
    </w:p>
    <w:p w14:paraId="7D66A760" w14:textId="77777777" w:rsidR="008008EB" w:rsidRDefault="00D93006" w:rsidP="008008EB">
      <w:pPr>
        <w:pStyle w:val="BodyText"/>
        <w:ind w:left="2124" w:right="29"/>
        <w:contextualSpacing/>
        <w:rPr>
          <w:rFonts w:ascii="Arial" w:hAnsi="Arial" w:cs="Arial"/>
          <w:b/>
          <w:sz w:val="24"/>
          <w:szCs w:val="24"/>
        </w:rPr>
      </w:pPr>
      <w:r w:rsidRPr="007F600B">
        <w:rPr>
          <w:rFonts w:ascii="Arial" w:hAnsi="Arial" w:cs="Arial"/>
          <w:b/>
          <w:sz w:val="24"/>
          <w:szCs w:val="24"/>
        </w:rPr>
        <w:lastRenderedPageBreak/>
        <w:t>Indicador mensual de actividad económica (IMAE)*</w:t>
      </w:r>
    </w:p>
    <w:p w14:paraId="5E4E699C" w14:textId="608C31FD" w:rsidR="00D93006" w:rsidRDefault="00D93006" w:rsidP="008008EB">
      <w:pPr>
        <w:pStyle w:val="BodyText"/>
        <w:ind w:left="2832" w:right="29" w:firstLine="708"/>
        <w:contextualSpacing/>
        <w:rPr>
          <w:rFonts w:ascii="Arial" w:hAnsi="Arial" w:cs="Arial"/>
          <w:b/>
          <w:sz w:val="24"/>
          <w:szCs w:val="24"/>
        </w:rPr>
      </w:pPr>
      <w:r w:rsidRPr="007F600B">
        <w:rPr>
          <w:rFonts w:ascii="Arial" w:hAnsi="Arial" w:cs="Arial"/>
          <w:b/>
          <w:sz w:val="24"/>
          <w:szCs w:val="24"/>
        </w:rPr>
        <w:t>Tasas de crecimiento 202</w:t>
      </w:r>
      <w:r>
        <w:rPr>
          <w:rFonts w:ascii="Arial" w:hAnsi="Arial" w:cs="Arial"/>
          <w:b/>
          <w:sz w:val="24"/>
          <w:szCs w:val="24"/>
        </w:rPr>
        <w:t>6</w:t>
      </w:r>
      <w:r w:rsidRPr="007F600B">
        <w:rPr>
          <w:rFonts w:ascii="Arial" w:hAnsi="Arial" w:cs="Arial"/>
          <w:b/>
          <w:sz w:val="24"/>
          <w:szCs w:val="24"/>
        </w:rPr>
        <w:t xml:space="preserve"> (%)</w:t>
      </w:r>
    </w:p>
    <w:p w14:paraId="013673BF" w14:textId="7276BFBD" w:rsidR="00D93006" w:rsidRDefault="00E77816" w:rsidP="00D93006">
      <w:pPr>
        <w:pStyle w:val="BodyText"/>
        <w:ind w:left="360" w:right="29" w:firstLine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77816">
        <w:rPr>
          <w:noProof/>
        </w:rPr>
        <w:drawing>
          <wp:inline distT="0" distB="0" distL="0" distR="0" wp14:anchorId="568967F3" wp14:editId="70A89150">
            <wp:extent cx="3356386" cy="2743200"/>
            <wp:effectExtent l="0" t="0" r="0" b="0"/>
            <wp:docPr id="548063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412" cy="275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31359" w14:textId="77777777" w:rsidR="00D93006" w:rsidRDefault="00D93006" w:rsidP="00D93006">
      <w:pPr>
        <w:pStyle w:val="BodyText"/>
        <w:ind w:left="2160" w:right="29"/>
        <w:contextualSpacing/>
        <w:rPr>
          <w:rFonts w:ascii="Arial" w:hAnsi="Arial" w:cs="Arial"/>
          <w:bCs/>
          <w:sz w:val="16"/>
          <w:szCs w:val="14"/>
        </w:rPr>
      </w:pPr>
      <w:r>
        <w:rPr>
          <w:rFonts w:ascii="Arial" w:hAnsi="Arial" w:cs="Arial"/>
          <w:bCs/>
          <w:sz w:val="16"/>
          <w:szCs w:val="14"/>
        </w:rPr>
        <w:t xml:space="preserve">     </w:t>
      </w:r>
      <w:r w:rsidRPr="005809BC">
        <w:rPr>
          <w:rFonts w:ascii="Arial" w:hAnsi="Arial" w:cs="Arial"/>
          <w:bCs/>
          <w:sz w:val="16"/>
          <w:szCs w:val="14"/>
        </w:rPr>
        <w:t>*Cifras preliminares.</w:t>
      </w:r>
    </w:p>
    <w:p w14:paraId="04F08CE8" w14:textId="388E7022" w:rsidR="00D93006" w:rsidRPr="0067517A" w:rsidRDefault="00D93006" w:rsidP="006B0DAE">
      <w:pPr>
        <w:pStyle w:val="BodyText"/>
        <w:ind w:left="1440" w:right="29" w:firstLine="720"/>
        <w:contextualSpacing/>
        <w:rPr>
          <w:rFonts w:ascii="Arial" w:hAnsi="Arial" w:cs="Arial"/>
        </w:rPr>
      </w:pPr>
      <w:r>
        <w:rPr>
          <w:rFonts w:ascii="Arial" w:hAnsi="Arial" w:cs="Arial"/>
          <w:bCs/>
          <w:sz w:val="16"/>
          <w:szCs w:val="14"/>
        </w:rPr>
        <w:t xml:space="preserve">     </w:t>
      </w:r>
      <w:r w:rsidRPr="005809BC">
        <w:rPr>
          <w:rFonts w:ascii="Arial" w:hAnsi="Arial" w:cs="Arial"/>
          <w:bCs/>
          <w:sz w:val="16"/>
          <w:szCs w:val="14"/>
        </w:rPr>
        <w:t>Fuente: Banco Central.</w:t>
      </w:r>
    </w:p>
    <w:p w14:paraId="1B5A6478" w14:textId="77777777" w:rsidR="00D93006" w:rsidRPr="0067517A" w:rsidRDefault="00D93006" w:rsidP="00D93006">
      <w:pPr>
        <w:rPr>
          <w:rFonts w:ascii="Arial" w:hAnsi="Arial" w:cs="Arial"/>
        </w:rPr>
      </w:pPr>
    </w:p>
    <w:p w14:paraId="75CD0E4E" w14:textId="77777777" w:rsidR="00D93006" w:rsidRPr="0067517A" w:rsidRDefault="00D93006" w:rsidP="00D93006">
      <w:pPr>
        <w:rPr>
          <w:rFonts w:ascii="Arial" w:hAnsi="Arial" w:cs="Arial"/>
        </w:rPr>
      </w:pPr>
    </w:p>
    <w:p w14:paraId="56AAC7D0" w14:textId="77777777" w:rsidR="00D93006" w:rsidRPr="0067517A" w:rsidRDefault="00D93006" w:rsidP="00D93006">
      <w:pPr>
        <w:rPr>
          <w:rFonts w:ascii="Arial" w:hAnsi="Arial" w:cs="Arial"/>
        </w:rPr>
      </w:pPr>
    </w:p>
    <w:p w14:paraId="70C04B9A" w14:textId="77777777" w:rsidR="00D93006" w:rsidRDefault="00D93006" w:rsidP="00D93006">
      <w:pPr>
        <w:rPr>
          <w:rFonts w:ascii="Arial" w:hAnsi="Arial" w:cs="Arial"/>
        </w:rPr>
      </w:pPr>
    </w:p>
    <w:p w14:paraId="1C21595F" w14:textId="77777777" w:rsidR="00D93006" w:rsidRDefault="00D93006" w:rsidP="00D93006">
      <w:pPr>
        <w:rPr>
          <w:rFonts w:ascii="Arial" w:hAnsi="Arial" w:cs="Arial"/>
        </w:rPr>
      </w:pPr>
    </w:p>
    <w:p w14:paraId="466E3FE4" w14:textId="77777777" w:rsidR="00D93006" w:rsidRDefault="00D93006" w:rsidP="00D93006">
      <w:pPr>
        <w:rPr>
          <w:rFonts w:ascii="Arial" w:hAnsi="Arial" w:cs="Arial"/>
        </w:rPr>
      </w:pPr>
    </w:p>
    <w:p w14:paraId="0E95F861" w14:textId="77777777" w:rsidR="00D93006" w:rsidRDefault="00D93006" w:rsidP="00D93006">
      <w:pPr>
        <w:rPr>
          <w:rFonts w:ascii="Arial" w:hAnsi="Arial" w:cs="Arial"/>
        </w:rPr>
      </w:pPr>
    </w:p>
    <w:p w14:paraId="2A665FF4" w14:textId="77777777" w:rsidR="00D93006" w:rsidRDefault="00D93006" w:rsidP="00D93006">
      <w:pPr>
        <w:rPr>
          <w:rFonts w:ascii="Arial" w:hAnsi="Arial" w:cs="Arial"/>
        </w:rPr>
      </w:pPr>
    </w:p>
    <w:p w14:paraId="347BEEC1" w14:textId="77777777" w:rsidR="00D93006" w:rsidRPr="00A469E1" w:rsidRDefault="00D93006" w:rsidP="00D93006">
      <w:pPr>
        <w:rPr>
          <w:rFonts w:ascii="Arial" w:eastAsia="Times New Roman" w:hAnsi="Arial" w:cs="Arial"/>
          <w:b/>
        </w:rPr>
      </w:pPr>
    </w:p>
    <w:p w14:paraId="01DD1278" w14:textId="77777777" w:rsidR="00D24B32" w:rsidRDefault="00D24B32"/>
    <w:sectPr w:rsidR="00D24B32" w:rsidSect="00C35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06"/>
    <w:rsid w:val="00042CCC"/>
    <w:rsid w:val="000451D7"/>
    <w:rsid w:val="000A0408"/>
    <w:rsid w:val="000A0ED0"/>
    <w:rsid w:val="000E41ED"/>
    <w:rsid w:val="000F6EB5"/>
    <w:rsid w:val="00296D43"/>
    <w:rsid w:val="002D2A43"/>
    <w:rsid w:val="00356AE1"/>
    <w:rsid w:val="00393448"/>
    <w:rsid w:val="003D448B"/>
    <w:rsid w:val="00401A38"/>
    <w:rsid w:val="0040435D"/>
    <w:rsid w:val="004507D6"/>
    <w:rsid w:val="0057193B"/>
    <w:rsid w:val="005A4B04"/>
    <w:rsid w:val="005D09AC"/>
    <w:rsid w:val="005E27CB"/>
    <w:rsid w:val="005E62C1"/>
    <w:rsid w:val="00615E7E"/>
    <w:rsid w:val="0067101A"/>
    <w:rsid w:val="006B0DAE"/>
    <w:rsid w:val="00723CC1"/>
    <w:rsid w:val="00730397"/>
    <w:rsid w:val="00791CE1"/>
    <w:rsid w:val="00792E1E"/>
    <w:rsid w:val="007B1CB1"/>
    <w:rsid w:val="008008EB"/>
    <w:rsid w:val="008210DE"/>
    <w:rsid w:val="00891D90"/>
    <w:rsid w:val="008B7D8A"/>
    <w:rsid w:val="0093625C"/>
    <w:rsid w:val="00960473"/>
    <w:rsid w:val="00970BB3"/>
    <w:rsid w:val="00983C9D"/>
    <w:rsid w:val="00A11FA8"/>
    <w:rsid w:val="00A70698"/>
    <w:rsid w:val="00AA7CC7"/>
    <w:rsid w:val="00B10556"/>
    <w:rsid w:val="00B15138"/>
    <w:rsid w:val="00B245B0"/>
    <w:rsid w:val="00B8116B"/>
    <w:rsid w:val="00BB2C86"/>
    <w:rsid w:val="00BC6FE6"/>
    <w:rsid w:val="00BE0B07"/>
    <w:rsid w:val="00C02B5B"/>
    <w:rsid w:val="00C352D2"/>
    <w:rsid w:val="00CE05B2"/>
    <w:rsid w:val="00D01E3F"/>
    <w:rsid w:val="00D24B32"/>
    <w:rsid w:val="00D93006"/>
    <w:rsid w:val="00D9415E"/>
    <w:rsid w:val="00DB6BB8"/>
    <w:rsid w:val="00DE59D0"/>
    <w:rsid w:val="00E22463"/>
    <w:rsid w:val="00E77816"/>
    <w:rsid w:val="00EA0464"/>
    <w:rsid w:val="00F20AAF"/>
    <w:rsid w:val="00F36157"/>
    <w:rsid w:val="00F652C7"/>
    <w:rsid w:val="00F90B66"/>
    <w:rsid w:val="00FA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AC1A3"/>
  <w15:chartTrackingRefBased/>
  <w15:docId w15:val="{0BDE5E8F-E3ED-4BF5-9302-6DE6E8D0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006"/>
    <w:pPr>
      <w:spacing w:line="259" w:lineRule="auto"/>
    </w:pPr>
    <w:rPr>
      <w:sz w:val="22"/>
      <w:szCs w:val="22"/>
      <w:lang w:val="es-D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30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419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0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419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0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419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0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s-419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0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s-419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0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s-419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0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s-419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0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s-419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0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s-419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0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0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0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0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0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0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3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00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419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3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00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s-419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3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006"/>
    <w:pPr>
      <w:spacing w:line="278" w:lineRule="auto"/>
      <w:ind w:left="720"/>
      <w:contextualSpacing/>
    </w:pPr>
    <w:rPr>
      <w:sz w:val="24"/>
      <w:szCs w:val="24"/>
      <w:lang w:val="es-419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30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s-419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0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00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D9300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BodyTextChar">
    <w:name w:val="Body Text Char"/>
    <w:basedOn w:val="DefaultParagraphFont"/>
    <w:link w:val="BodyText"/>
    <w:rsid w:val="00D93006"/>
    <w:rPr>
      <w:rFonts w:ascii="Times New Roman" w:eastAsia="Times New Roman" w:hAnsi="Times New Roman" w:cs="Times New Roman"/>
      <w:sz w:val="20"/>
      <w:szCs w:val="20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bcfs\CUNECO\Cuentas%20Nacionales\Direcci&#243;n\Carta%20Presidente%20resultados%202026\Julio\Insumos\IMAE%20por%20actividad%20econ&#243;mica%20(con%20formato)%20-%20julio%202026.xlsm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938623256830262E-2"/>
          <c:y val="0.22654700913477518"/>
          <c:w val="0.97732704868779408"/>
          <c:h val="0.512001283682334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'IMAE 2018'!$C$3</c:f>
              <c:strCache>
                <c:ptCount val="1"/>
                <c:pt idx="0">
                  <c:v>Serie original</c:v>
                </c:pt>
              </c:strCache>
            </c:strRef>
          </c:tx>
          <c:spPr>
            <a:solidFill>
              <a:srgbClr val="1F497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('IMAE 2018'!$A$83:$B$94,'IMAE 2018'!$A$96:$B$102)</c:f>
              <c:multiLvlStrCache>
                <c:ptCount val="19"/>
                <c:lvl>
                  <c:pt idx="0">
                    <c:v>ene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abr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ago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dic</c:v>
                  </c:pt>
                  <c:pt idx="12">
                    <c:v>ene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abr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('IMAE 2018'!$C$83:$C$94,'IMAE 2018'!$C$96:$C$102)</c:f>
              <c:numCache>
                <c:formatCode>0.0</c:formatCode>
                <c:ptCount val="19"/>
                <c:pt idx="0">
                  <c:v>2.2888379164192543</c:v>
                </c:pt>
                <c:pt idx="1">
                  <c:v>0.67764829287220607</c:v>
                </c:pt>
                <c:pt idx="2">
                  <c:v>5.4235644139626515</c:v>
                </c:pt>
                <c:pt idx="3">
                  <c:v>1.6789419825276326</c:v>
                </c:pt>
                <c:pt idx="4">
                  <c:v>3.12638708899091</c:v>
                </c:pt>
                <c:pt idx="5">
                  <c:v>1.0846208608312082</c:v>
                </c:pt>
                <c:pt idx="6">
                  <c:v>2.9260209969111202</c:v>
                </c:pt>
                <c:pt idx="7">
                  <c:v>1.5045632706234642</c:v>
                </c:pt>
                <c:pt idx="8">
                  <c:v>1.11355981996266</c:v>
                </c:pt>
                <c:pt idx="9">
                  <c:v>0.18315162989510725</c:v>
                </c:pt>
                <c:pt idx="10">
                  <c:v>3.156665017065734</c:v>
                </c:pt>
                <c:pt idx="11">
                  <c:v>2.3096486905120059</c:v>
                </c:pt>
                <c:pt idx="12">
                  <c:v>3.4835200249852249</c:v>
                </c:pt>
                <c:pt idx="13">
                  <c:v>3.8611356428204289</c:v>
                </c:pt>
                <c:pt idx="14">
                  <c:v>5.0777144755017645</c:v>
                </c:pt>
                <c:pt idx="15">
                  <c:v>3.7882228557320445</c:v>
                </c:pt>
                <c:pt idx="16">
                  <c:v>4.698594476893561</c:v>
                </c:pt>
                <c:pt idx="17">
                  <c:v>6.3624080318054723</c:v>
                </c:pt>
                <c:pt idx="18">
                  <c:v>4.5569525001492082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C4-4144-B8A5-86187551E7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1303903472"/>
        <c:axId val="1303900192"/>
      </c:barChart>
      <c:catAx>
        <c:axId val="1303903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DO"/>
          </a:p>
        </c:txPr>
        <c:crossAx val="1303900192"/>
        <c:crosses val="autoZero"/>
        <c:auto val="1"/>
        <c:lblAlgn val="ctr"/>
        <c:lblOffset val="100"/>
        <c:noMultiLvlLbl val="0"/>
      </c:catAx>
      <c:valAx>
        <c:axId val="1303900192"/>
        <c:scaling>
          <c:orientation val="minMax"/>
          <c:max val="10"/>
          <c:min val="0"/>
        </c:scaling>
        <c:delete val="1"/>
        <c:axPos val="l"/>
        <c:numFmt formatCode="0.0" sourceLinked="1"/>
        <c:majorTickMark val="none"/>
        <c:minorTickMark val="none"/>
        <c:tickLblPos val="nextTo"/>
        <c:crossAx val="1303903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DO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0.70559</cdr:x>
      <cdr:y>0.02957</cdr:y>
    </cdr:from>
    <cdr:to>
      <cdr:x>0.91953</cdr:x>
      <cdr:y>0.24277</cdr:y>
    </cdr:to>
    <cdr:sp macro="" textlink="">
      <cdr:nvSpPr>
        <cdr:cNvPr id="2" name="Rectangle: Rounded Corners 1"/>
        <cdr:cNvSpPr/>
      </cdr:nvSpPr>
      <cdr:spPr>
        <a:xfrm xmlns:a="http://schemas.openxmlformats.org/drawingml/2006/main">
          <a:off x="4193726" y="51599"/>
          <a:ext cx="1271574" cy="372030"/>
        </a:xfrm>
        <a:prstGeom xmlns:a="http://schemas.openxmlformats.org/drawingml/2006/main" prst="roundRect">
          <a:avLst/>
        </a:prstGeom>
        <a:solidFill xmlns:a="http://schemas.openxmlformats.org/drawingml/2006/main">
          <a:schemeClr val="bg1">
            <a:lumMod val="85000"/>
          </a:schemeClr>
        </a:solidFill>
      </cdr:spPr>
      <cdr:style>
        <a:lnRef xmlns:a="http://schemas.openxmlformats.org/drawingml/2006/main" idx="1">
          <a:schemeClr val="dk1"/>
        </a:lnRef>
        <a:fillRef xmlns:a="http://schemas.openxmlformats.org/drawingml/2006/main" idx="2">
          <a:schemeClr val="dk1"/>
        </a:fillRef>
        <a:effectRef xmlns:a="http://schemas.openxmlformats.org/drawingml/2006/main" idx="1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algn="ctr">
            <a:buNone/>
          </a:pPr>
          <a:r>
            <a:rPr lang="en-US" sz="900" b="1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</a:rPr>
            <a:t>IMAE ene-jul 2026: </a:t>
          </a:r>
          <a:endParaRPr lang="es-419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 marL="0" marR="0" algn="ctr">
            <a:buNone/>
          </a:pPr>
          <a:r>
            <a:rPr lang="en-US" sz="900" b="1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</a:rPr>
            <a:t>4.5 %</a:t>
          </a:r>
          <a:endParaRPr lang="es-419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0.65908</cdr:x>
      <cdr:y>0.24636</cdr:y>
    </cdr:from>
    <cdr:to>
      <cdr:x>0.96245</cdr:x>
      <cdr:y>0.32205</cdr:y>
    </cdr:to>
    <cdr:sp macro="" textlink="">
      <cdr:nvSpPr>
        <cdr:cNvPr id="3" name="Left Brace 2"/>
        <cdr:cNvSpPr/>
      </cdr:nvSpPr>
      <cdr:spPr>
        <a:xfrm xmlns:a="http://schemas.openxmlformats.org/drawingml/2006/main" rot="5400000">
          <a:off x="4752813" y="-405623"/>
          <a:ext cx="132078" cy="1803110"/>
        </a:xfrm>
        <a:prstGeom xmlns:a="http://schemas.openxmlformats.org/drawingml/2006/main" prst="leftBrace">
          <a:avLst>
            <a:gd name="adj1" fmla="val 146261"/>
            <a:gd name="adj2" fmla="val 50000"/>
          </a:avLst>
        </a:prstGeom>
        <a:ln xmlns:a="http://schemas.openxmlformats.org/drawingml/2006/main" w="12700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s-419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265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BCRD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Victoria Gomez Polanco</dc:creator>
  <cp:keywords/>
  <dc:description/>
  <cp:lastModifiedBy>Jonathan Modesto Abreu Rodriguez</cp:lastModifiedBy>
  <cp:revision>2</cp:revision>
  <dcterms:created xsi:type="dcterms:W3CDTF">2026-08-25T18:13:00Z</dcterms:created>
  <dcterms:modified xsi:type="dcterms:W3CDTF">2026-08-25T18:13:00Z</dcterms:modified>
</cp:coreProperties>
</file>